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FC" w:rsidRDefault="002412FC" w:rsidP="00BA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  <w:u w:val="single"/>
        </w:rPr>
      </w:pPr>
      <w:r>
        <w:rPr>
          <w:rFonts w:ascii="Times New Roman" w:eastAsiaTheme="minorHAnsi" w:hAnsi="Times New Roman"/>
          <w:b/>
          <w:sz w:val="20"/>
          <w:szCs w:val="20"/>
          <w:u w:val="single"/>
        </w:rPr>
        <w:t>Allegato 5 Circolare Obbligo Vaccinazioni</w:t>
      </w:r>
    </w:p>
    <w:p w:rsidR="002412FC" w:rsidRDefault="002412FC" w:rsidP="00BA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2412FC" w:rsidRDefault="002412FC" w:rsidP="0024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:rsidR="00BA00FD" w:rsidRPr="002412FC" w:rsidRDefault="002412FC" w:rsidP="0024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2412FC">
        <w:rPr>
          <w:rFonts w:ascii="Times New Roman" w:eastAsiaTheme="minorHAnsi" w:hAnsi="Times New Roman"/>
          <w:b/>
          <w:sz w:val="20"/>
          <w:szCs w:val="20"/>
          <w:u w:val="single"/>
        </w:rPr>
        <w:t>Oggetto</w:t>
      </w:r>
      <w:r>
        <w:rPr>
          <w:rFonts w:ascii="Times New Roman" w:eastAsiaTheme="minorHAnsi" w:hAnsi="Times New Roman"/>
          <w:b/>
          <w:sz w:val="20"/>
          <w:szCs w:val="20"/>
        </w:rPr>
        <w:t xml:space="preserve">: </w:t>
      </w:r>
      <w:r w:rsidR="00BA00FD" w:rsidRPr="002412FC">
        <w:rPr>
          <w:rFonts w:ascii="Times New Roman" w:eastAsiaTheme="minorHAnsi" w:hAnsi="Times New Roman"/>
          <w:b/>
          <w:sz w:val="20"/>
          <w:szCs w:val="20"/>
        </w:rPr>
        <w:t xml:space="preserve">Calendario Vaccinaie,  reperibile sul sito istituzionale del Ministero della Salute, allink: </w:t>
      </w:r>
      <w:hyperlink r:id="rId7" w:history="1">
        <w:r w:rsidR="00BA00FD" w:rsidRPr="002412FC">
          <w:rPr>
            <w:rStyle w:val="Collegamentoipertestuale"/>
            <w:rFonts w:ascii="Times New Roman" w:eastAsiaTheme="minorHAnsi" w:hAnsi="Times New Roman"/>
            <w:b/>
            <w:sz w:val="20"/>
            <w:szCs w:val="20"/>
            <w:u w:val="none"/>
          </w:rPr>
          <w:t>www.salute.gov.it/vaccini</w:t>
        </w:r>
      </w:hyperlink>
    </w:p>
    <w:p w:rsidR="00883E21" w:rsidRPr="00883E21" w:rsidRDefault="00883E21" w:rsidP="00BA00FD">
      <w:pPr>
        <w:spacing w:after="0" w:line="240" w:lineRule="auto"/>
        <w:jc w:val="both"/>
        <w:outlineLvl w:val="3"/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</w:pPr>
      <w:r w:rsidRPr="00883E21"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  <w:t>Bambini da zero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Anti-difterica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ciclo di base 3 dosi nel primo anno di vita e richiamo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Anti-poliomielite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ciclo di base 3 dosi nel primo anno di vita e richiamo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Anti-tetanica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ciclo di base 3 dosi nel primo anno di vita e richiamo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Anti-epatite virale B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3 dosi nel primo anno di vita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Anti-pertosse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ciclo di base 3 dosi nel primo anno di vita e richiamo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</w:t>
      </w:r>
      <w:r w:rsidRPr="00883E21">
        <w:rPr>
          <w:rFonts w:ascii="Titillium Web" w:eastAsia="Times New Roman" w:hAnsi="Titillium Web"/>
          <w:b/>
          <w:bCs/>
          <w:i/>
          <w:iCs/>
          <w:color w:val="1C2024"/>
          <w:sz w:val="20"/>
          <w:szCs w:val="20"/>
          <w:lang w:eastAsia="it-IT"/>
        </w:rPr>
        <w:t>Haemophilus influenzae</w:t>
      </w: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 xml:space="preserve"> tipo b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3 dosi nel primo anno di vita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Anti-meningococcica B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3 o 4 dosi nel primo anno di vita, a seconda del mese di somministrazione della prima dose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Anti-rotavirus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2 o 3 dosi nel primo anno di vita, a seconda del tipo di vaccino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Anti-pneumococcica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3 dosi nel primo anno di vita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Anti-meningococcica C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1° dose nel secondo anno di vita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Anti-varicella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1° dose nel secondo anno di vita e 2° dose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Anti-morbillo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1° dose nel secondo anno di vita e 2° dose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Anti-parotite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1° dose nel secondo anno di vita e 2° dose a 6 anni</w:t>
      </w:r>
    </w:p>
    <w:p w:rsidR="00883E21" w:rsidRPr="00883E21" w:rsidRDefault="00883E21" w:rsidP="00883E21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Anti-rosolia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1° dose nel secondo anno di vita e 2° dose a 6 anni</w:t>
      </w:r>
    </w:p>
    <w:p w:rsidR="00883E21" w:rsidRPr="00883E21" w:rsidRDefault="00883E21" w:rsidP="00883E21">
      <w:pPr>
        <w:spacing w:after="0" w:line="240" w:lineRule="auto"/>
        <w:jc w:val="both"/>
        <w:outlineLvl w:val="3"/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</w:pPr>
      <w:r w:rsidRPr="00883E21"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  <w:t>Adolescenti</w:t>
      </w:r>
    </w:p>
    <w:p w:rsidR="00883E21" w:rsidRPr="00883E21" w:rsidRDefault="00883E21" w:rsidP="00883E2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Anti-difterica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richiamo (obbligatoria per i nati dal 2001</w:t>
      </w:r>
    </w:p>
    <w:p w:rsidR="00883E21" w:rsidRPr="00883E21" w:rsidRDefault="00883E21" w:rsidP="00883E2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Anti-poliomielite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richiamo (obbligatoria per i nati dal 2001)</w:t>
      </w:r>
    </w:p>
    <w:p w:rsidR="00883E21" w:rsidRPr="00883E21" w:rsidRDefault="00883E21" w:rsidP="00883E2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Anti-tetanica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richiamo (obbligatoria per i nati dal 2001)</w:t>
      </w:r>
    </w:p>
    <w:p w:rsidR="00883E21" w:rsidRPr="00883E21" w:rsidRDefault="00883E21" w:rsidP="00883E2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Anti-pertosse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 richiamo (obbligatoria per i nati dal 2001)</w:t>
      </w:r>
    </w:p>
    <w:p w:rsidR="00883E21" w:rsidRPr="00883E21" w:rsidRDefault="00883E21" w:rsidP="00883E2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Anti-HPV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per le ragazze e i ragazzi (2 dosi nel corso del 12° anno di vita)</w:t>
      </w:r>
    </w:p>
    <w:p w:rsidR="00883E21" w:rsidRPr="00883E21" w:rsidRDefault="00883E21" w:rsidP="00883E21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Anti-meningococcica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tetravalente ACWY135 (1 dose)</w:t>
      </w:r>
    </w:p>
    <w:p w:rsidR="00883E21" w:rsidRPr="00883E21" w:rsidRDefault="00883E21" w:rsidP="00883E21">
      <w:pPr>
        <w:spacing w:after="0" w:line="240" w:lineRule="auto"/>
        <w:jc w:val="both"/>
        <w:outlineLvl w:val="3"/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</w:pPr>
      <w:r w:rsidRPr="00883E21"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  <w:t>Adulti</w:t>
      </w:r>
    </w:p>
    <w:p w:rsidR="00883E21" w:rsidRPr="00883E21" w:rsidRDefault="00883E21" w:rsidP="00883E21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Anti-pneumococcica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nei 65enni</w:t>
      </w:r>
    </w:p>
    <w:p w:rsidR="00883E21" w:rsidRPr="00883E21" w:rsidRDefault="00883E21" w:rsidP="00883E21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Anti-zoster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nei 65enni</w:t>
      </w:r>
    </w:p>
    <w:p w:rsidR="00883E21" w:rsidRPr="00883E21" w:rsidRDefault="00883E21" w:rsidP="00883E21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b/>
          <w:bCs/>
          <w:color w:val="1C2024"/>
          <w:sz w:val="20"/>
          <w:szCs w:val="20"/>
          <w:lang w:eastAsia="it-IT"/>
        </w:rPr>
        <w:t>Anti-influenzale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per tutte le persone oltre i 64 anni.</w:t>
      </w:r>
    </w:p>
    <w:p w:rsidR="00883E21" w:rsidRPr="00883E21" w:rsidRDefault="00883E21" w:rsidP="00883E21">
      <w:pPr>
        <w:spacing w:after="0" w:line="240" w:lineRule="auto"/>
        <w:jc w:val="both"/>
        <w:outlineLvl w:val="3"/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</w:pPr>
      <w:r w:rsidRPr="00883E21"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  <w:t>Categorie a rischio</w:t>
      </w:r>
    </w:p>
    <w:p w:rsidR="00883E21" w:rsidRPr="00883E21" w:rsidRDefault="00883E21" w:rsidP="00883E21">
      <w:pPr>
        <w:spacing w:after="0" w:line="240" w:lineRule="auto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Il PNPV 2017-2019 prevede anche l’offerta a diverse categorie di persone sulla base dell'esistenza di determinate condizioni di rischio.</w:t>
      </w:r>
    </w:p>
    <w:p w:rsidR="00883E21" w:rsidRPr="00883E21" w:rsidRDefault="00883E21" w:rsidP="00883E21">
      <w:pPr>
        <w:spacing w:after="0" w:line="240" w:lineRule="auto"/>
        <w:jc w:val="both"/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u w:val="single"/>
          <w:lang w:eastAsia="it-IT"/>
        </w:rPr>
        <w:t> </w:t>
      </w:r>
      <w:r w:rsidRPr="00883E21">
        <w:rPr>
          <w:rFonts w:ascii="inherit" w:eastAsia="Times New Roman" w:hAnsi="inherit"/>
          <w:b/>
          <w:bCs/>
          <w:color w:val="1C2024"/>
          <w:sz w:val="20"/>
          <w:szCs w:val="20"/>
          <w:u w:val="single"/>
          <w:lang w:eastAsia="it-IT"/>
        </w:rPr>
        <w:t>Vaccinazioni obbligatorie da zero a 16 anni</w:t>
      </w:r>
    </w:p>
    <w:p w:rsidR="00883E21" w:rsidRPr="00883E21" w:rsidRDefault="00883E21" w:rsidP="00883E21">
      <w:pPr>
        <w:spacing w:after="0" w:line="240" w:lineRule="auto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La </w:t>
      </w:r>
      <w:hyperlink r:id="rId8" w:tooltip="apre nuova finestra portale trovanorme" w:history="1">
        <w:r w:rsidRPr="00883E2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Legge 31 luglio 2017, n. 119</w:t>
        </w:r>
      </w:hyperlink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 "Conversione in legge, con modificazioni, del decreto-legge 7 giugno 2017, n. 73, recante disposizioni urgenti in materia di prevenzione vaccinale", pubblicata nella Gazzetta Ufficiale del 5 agosto 2017 insieme al </w:t>
      </w:r>
      <w:hyperlink r:id="rId9" w:tooltip="apre nuova finestra portale trovanorme" w:history="1">
        <w:r w:rsidRPr="00883E2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testo coordinato</w:t>
        </w:r>
      </w:hyperlink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, ha aumentato il numero di vaccinazioni obbligatorie per i minori da zero a 16 anni, estendendole a 10: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anti-poliomielitica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anti-difterica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anti-tetanica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anti-epatite B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anti-pertosse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</w:t>
      </w:r>
      <w:r w:rsidRPr="00883E21">
        <w:rPr>
          <w:rFonts w:ascii="Titillium Web" w:eastAsia="Times New Roman" w:hAnsi="Titillium Web"/>
          <w:i/>
          <w:iCs/>
          <w:color w:val="1C2024"/>
          <w:sz w:val="20"/>
          <w:szCs w:val="20"/>
          <w:lang w:eastAsia="it-IT"/>
        </w:rPr>
        <w:t>Haemophilus influenzae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 tipo b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anti-morbillo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anti-rosolia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anti-parotite</w:t>
      </w:r>
    </w:p>
    <w:p w:rsidR="00883E21" w:rsidRPr="00883E21" w:rsidRDefault="00883E21" w:rsidP="00883E21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anti-varicella.</w:t>
      </w:r>
    </w:p>
    <w:p w:rsidR="00883E21" w:rsidRPr="00883E21" w:rsidRDefault="00883E21" w:rsidP="00883E21">
      <w:pPr>
        <w:spacing w:after="0" w:line="240" w:lineRule="auto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r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Da consultare</w:t>
      </w:r>
      <w:r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:</w:t>
      </w:r>
    </w:p>
    <w:p w:rsidR="00883E21" w:rsidRPr="00883E21" w:rsidRDefault="007215E1" w:rsidP="00883E21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hyperlink r:id="rId10" w:tooltip="apre file in pdf" w:history="1">
        <w:r w:rsidR="00883E21" w:rsidRPr="00883E2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Calendario delle vaccinazioni</w:t>
        </w:r>
      </w:hyperlink>
      <w:r w:rsidR="00883E21"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previste dal  </w:t>
      </w:r>
      <w:hyperlink r:id="rId11" w:tooltip="apre nuova finestra sito Trovanorme" w:history="1">
        <w:r w:rsidR="00883E21" w:rsidRPr="00883E2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Piano nazionale prevenzione vaccinale 2017-2019</w:t>
        </w:r>
      </w:hyperlink>
    </w:p>
    <w:p w:rsidR="00883E21" w:rsidRPr="00883E21" w:rsidRDefault="007215E1" w:rsidP="00883E21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hyperlink r:id="rId12" w:tooltip="apre nuova finestra sito Trovanorme" w:history="1">
        <w:r w:rsidR="00883E21" w:rsidRPr="00883E2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Circolare del 9 marzo 2017</w:t>
        </w:r>
      </w:hyperlink>
      <w:r w:rsidR="00883E21"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 xml:space="preserve"> contenente aspetti operativi per la piena e uniforme implementazione del nuovo PNPV 2017-2019 e del relativo calendario vaccinale.</w:t>
      </w:r>
    </w:p>
    <w:p w:rsidR="00883E21" w:rsidRPr="00883E21" w:rsidRDefault="007215E1" w:rsidP="00883E21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tillium Web" w:eastAsia="Times New Roman" w:hAnsi="Titillium Web"/>
          <w:color w:val="1C2024"/>
          <w:sz w:val="20"/>
          <w:szCs w:val="20"/>
          <w:lang w:eastAsia="it-IT"/>
        </w:rPr>
      </w:pPr>
      <w:hyperlink r:id="rId13" w:tooltip="apre file pdf in nuova finestra sito trovanorme" w:history="1">
        <w:r w:rsidR="00883E21" w:rsidRPr="00883E2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Circolare 16 agosto 2017</w:t>
        </w:r>
      </w:hyperlink>
      <w:r w:rsidR="00883E21" w:rsidRPr="00883E2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 con le indicazioni operative per l’attuazione del decreto-legge n. 73 del 7 giugno 2017, convertito con modificazioni dalla legge 31 luglio 2017, n. 119</w:t>
      </w:r>
    </w:p>
    <w:p w:rsidR="00374093" w:rsidRDefault="007215E1" w:rsidP="00883E21">
      <w:pPr>
        <w:numPr>
          <w:ilvl w:val="0"/>
          <w:numId w:val="5"/>
        </w:numPr>
        <w:spacing w:after="0" w:line="240" w:lineRule="auto"/>
        <w:ind w:left="495"/>
        <w:jc w:val="both"/>
      </w:pPr>
      <w:hyperlink r:id="rId14" w:tooltip="apre sito trovanorme" w:history="1">
        <w:r w:rsidR="00883E21" w:rsidRPr="00936661">
          <w:rPr>
            <w:rStyle w:val="Collegamentoipertestuale"/>
            <w:rFonts w:ascii="Titillium Web" w:eastAsia="Times New Roman" w:hAnsi="Titillium Web"/>
            <w:color w:val="0066CC"/>
            <w:sz w:val="20"/>
            <w:szCs w:val="20"/>
            <w:u w:val="none"/>
            <w:lang w:eastAsia="it-IT"/>
          </w:rPr>
          <w:t>Circolare 14 agosto 2017</w:t>
        </w:r>
      </w:hyperlink>
      <w:r w:rsidR="00883E21" w:rsidRPr="00936661">
        <w:rPr>
          <w:rFonts w:ascii="Titillium Web" w:eastAsia="Times New Roman" w:hAnsi="Titillium Web"/>
          <w:color w:val="1C2024"/>
          <w:sz w:val="20"/>
          <w:szCs w:val="20"/>
          <w:lang w:eastAsia="it-IT"/>
        </w:rPr>
        <w:t> con le indicazioni operative riguardanti il comma 1-quater, art. 1 del decreto-legge n. 73 del 7 giugno 2017, convertito con modificazioni dalla legge 31 luglio 2017, n. 119</w:t>
      </w:r>
      <w:bookmarkStart w:id="0" w:name="_GoBack"/>
      <w:bookmarkEnd w:id="0"/>
    </w:p>
    <w:sectPr w:rsidR="00374093" w:rsidSect="007215E1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FC" w:rsidRDefault="002412FC" w:rsidP="002412FC">
      <w:pPr>
        <w:spacing w:after="0" w:line="240" w:lineRule="auto"/>
      </w:pPr>
      <w:r>
        <w:separator/>
      </w:r>
    </w:p>
  </w:endnote>
  <w:endnote w:type="continuationSeparator" w:id="1">
    <w:p w:rsidR="002412FC" w:rsidRDefault="002412FC" w:rsidP="0024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848874"/>
      <w:docPartObj>
        <w:docPartGallery w:val="Page Numbers (Bottom of Page)"/>
        <w:docPartUnique/>
      </w:docPartObj>
    </w:sdtPr>
    <w:sdtEndPr>
      <w:rPr>
        <w:rFonts w:ascii="Times New Roman" w:hAnsi="Times New Roman"/>
        <w:i/>
        <w:sz w:val="16"/>
        <w:szCs w:val="16"/>
      </w:rPr>
    </w:sdtEndPr>
    <w:sdtContent>
      <w:p w:rsidR="002412FC" w:rsidRPr="002412FC" w:rsidRDefault="00936661">
        <w:pPr>
          <w:pStyle w:val="Pidipagina"/>
          <w:jc w:val="right"/>
          <w:rPr>
            <w:rFonts w:ascii="Times New Roman" w:hAnsi="Times New Roman"/>
            <w:i/>
            <w:sz w:val="16"/>
            <w:szCs w:val="16"/>
          </w:rPr>
        </w:pPr>
        <w:r>
          <w:rPr>
            <w:noProof/>
            <w:lang w:eastAsia="it-IT"/>
          </w:rPr>
          <w:drawing>
            <wp:inline distT="0" distB="0" distL="0" distR="0">
              <wp:extent cx="204263" cy="198783"/>
              <wp:effectExtent l="0" t="0" r="5715" b="0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268" cy="1987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215E1" w:rsidRPr="002412FC">
          <w:rPr>
            <w:rFonts w:ascii="Times New Roman" w:hAnsi="Times New Roman"/>
            <w:i/>
            <w:sz w:val="16"/>
            <w:szCs w:val="16"/>
          </w:rPr>
          <w:fldChar w:fldCharType="begin"/>
        </w:r>
        <w:r w:rsidR="002412FC" w:rsidRPr="002412FC">
          <w:rPr>
            <w:rFonts w:ascii="Times New Roman" w:hAnsi="Times New Roman"/>
            <w:i/>
            <w:sz w:val="16"/>
            <w:szCs w:val="16"/>
          </w:rPr>
          <w:instrText>PAGE   \* MERGEFORMAT</w:instrText>
        </w:r>
        <w:r w:rsidR="007215E1" w:rsidRPr="002412FC">
          <w:rPr>
            <w:rFonts w:ascii="Times New Roman" w:hAnsi="Times New Roman"/>
            <w:i/>
            <w:sz w:val="16"/>
            <w:szCs w:val="16"/>
          </w:rPr>
          <w:fldChar w:fldCharType="separate"/>
        </w:r>
        <w:r w:rsidR="00867F5D">
          <w:rPr>
            <w:rFonts w:ascii="Times New Roman" w:hAnsi="Times New Roman"/>
            <w:i/>
            <w:noProof/>
            <w:sz w:val="16"/>
            <w:szCs w:val="16"/>
          </w:rPr>
          <w:t>1</w:t>
        </w:r>
        <w:r w:rsidR="007215E1" w:rsidRPr="002412FC">
          <w:rPr>
            <w:rFonts w:ascii="Times New Roman" w:hAnsi="Times New Roman"/>
            <w:i/>
            <w:sz w:val="16"/>
            <w:szCs w:val="16"/>
          </w:rPr>
          <w:fldChar w:fldCharType="end"/>
        </w:r>
        <w:r w:rsidR="002412FC" w:rsidRPr="002412FC">
          <w:rPr>
            <w:rFonts w:ascii="Times New Roman" w:hAnsi="Times New Roman"/>
            <w:i/>
            <w:sz w:val="16"/>
            <w:szCs w:val="16"/>
          </w:rPr>
          <w:t xml:space="preserve"> di 1</w:t>
        </w:r>
      </w:p>
    </w:sdtContent>
  </w:sdt>
  <w:p w:rsidR="002412FC" w:rsidRDefault="002412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FC" w:rsidRDefault="002412FC" w:rsidP="002412FC">
      <w:pPr>
        <w:spacing w:after="0" w:line="240" w:lineRule="auto"/>
      </w:pPr>
      <w:r>
        <w:separator/>
      </w:r>
    </w:p>
  </w:footnote>
  <w:footnote w:type="continuationSeparator" w:id="1">
    <w:p w:rsidR="002412FC" w:rsidRDefault="002412FC" w:rsidP="0024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0F4"/>
    <w:multiLevelType w:val="multilevel"/>
    <w:tmpl w:val="0670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29EC"/>
    <w:multiLevelType w:val="multilevel"/>
    <w:tmpl w:val="E5B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4284"/>
    <w:multiLevelType w:val="multilevel"/>
    <w:tmpl w:val="134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16017"/>
    <w:multiLevelType w:val="multilevel"/>
    <w:tmpl w:val="2D5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C6A0C"/>
    <w:multiLevelType w:val="multilevel"/>
    <w:tmpl w:val="4B8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A07"/>
    <w:rsid w:val="00164A01"/>
    <w:rsid w:val="002412FC"/>
    <w:rsid w:val="006B1A07"/>
    <w:rsid w:val="007215E1"/>
    <w:rsid w:val="00867F5D"/>
    <w:rsid w:val="00883E21"/>
    <w:rsid w:val="00923F51"/>
    <w:rsid w:val="00936661"/>
    <w:rsid w:val="00A71AC9"/>
    <w:rsid w:val="00BA00FD"/>
    <w:rsid w:val="00C8255D"/>
    <w:rsid w:val="00E15035"/>
    <w:rsid w:val="00E2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E2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1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F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41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F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E2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1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F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41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F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vanorme.salute.gov.it/norme/dettaglioAtto?id=60201" TargetMode="External"/><Relationship Id="rId13" Type="http://schemas.openxmlformats.org/officeDocument/2006/relationships/hyperlink" Target="http://www.trovanorme.salute.gov.it/norme/renderNormsanPdf?anno=2017&amp;codLeg=60282&amp;parte=1%20&amp;serie=nul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alute.gov.it/vaccini" TargetMode="External"/><Relationship Id="rId12" Type="http://schemas.openxmlformats.org/officeDocument/2006/relationships/hyperlink" Target="http://www.trovanorme.salute.gov.it/norme/renderNormsanPdf?anno=2017&amp;codLeg=58583&amp;parte=1%20&amp;serie=nu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ovanorme.salute.gov.it/norme/dettaglioAtto?id=5818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alute.gov.it/imgs/C_17_pagineAree_4669_listaFile_itemName_0_fi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ovanorme.salute.gov.it/norme/dettaglioAtto?id=60202" TargetMode="External"/><Relationship Id="rId14" Type="http://schemas.openxmlformats.org/officeDocument/2006/relationships/hyperlink" Target="http://www.trovanorme.salute.gov.it/norme/renderNormsanPdf?anno=2017&amp;codLeg=60284&amp;parte=1%20&amp;serie=nul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2017-08-24T09:11:00Z</dcterms:created>
  <dcterms:modified xsi:type="dcterms:W3CDTF">2017-08-24T09:11:00Z</dcterms:modified>
</cp:coreProperties>
</file>